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18" w:rsidRPr="00BD1C18" w:rsidRDefault="00BD1C18" w:rsidP="00BD1C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b/>
          <w:bCs/>
          <w:color w:val="381501"/>
          <w:sz w:val="25"/>
          <w:lang w:eastAsia="sk-SK"/>
        </w:rPr>
        <w:t>§6 ods. 1 písm. h) Investície do opatrení na minimalizáciu environmentálnej záťaže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b/>
          <w:bCs/>
          <w:color w:val="381501"/>
          <w:sz w:val="25"/>
          <w:lang w:eastAsia="sk-SK"/>
        </w:rPr>
        <w:t>Konečný prijímateľ podpory: </w:t>
      </w: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schválený žiadateľ, včelár, včelárske združenie alebo organizačná jednotka, ktorí počas včelárskeho roku investovali do opatrení na minimalizáciu environmentálnej záťaže a jej trvalej udržateľnosti pri výrobe.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b/>
          <w:bCs/>
          <w:color w:val="381501"/>
          <w:sz w:val="25"/>
          <w:lang w:eastAsia="sk-SK"/>
        </w:rPr>
        <w:t>Výška podpory: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do 50 % z oprávnených nákladov na zariadenie na výrobu energie z obnoviteľných zdrojov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na včelnici, najviac však do výšky 1.000 eur,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do 50 % z oprávnených nákladov na materiály na zriadenie zachytávania dažďovej vody,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najviac však do výšky 150 eur.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Za oprávnené náklady sa považujú najmä náklady na obstaranie: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zariadenie na výrobu energie z obnoviteľných zdrojov na včelnici (napr. slnečné kolektory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a pod.),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materiály na zriadenie zachytávania dažďovej vody (napr. fólia na záhradné jazierko,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nádoba na zachytávanie vody).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b/>
          <w:bCs/>
          <w:color w:val="381501"/>
          <w:sz w:val="25"/>
          <w:lang w:eastAsia="sk-SK"/>
        </w:rPr>
        <w:t>Podmienky pre poskytnutie podpory: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predložené doklady musia preukázateľne súvisieť s investíciou do opatrení na minimalizáciu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environmentálnej záťaže a jej trvalej udržateľnosti pri výrobe,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prijímateľovi podpory v predchádzajúcich 5 rokoch nebola poskytnutá podpora na nákup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investícií rovnakého druhu a investície, na ktoré požaduje podporu, si ponechá vo svojom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lastRenderedPageBreak/>
        <w:t>výlučnom vlastníctve po dobu najmenej 5 rokov od poskytnutia podpory,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b/>
          <w:bCs/>
          <w:color w:val="381501"/>
          <w:sz w:val="25"/>
          <w:lang w:eastAsia="sk-SK"/>
        </w:rPr>
        <w:t>– konečnému prijímateľovi podpory sa NEPOSKYTNE podpora ak vykonáva podnikateľskú činnosť v chove včiel alebo vo výrobe, spracovaní alebo skladovaní včelárskych produktov.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b/>
          <w:bCs/>
          <w:color w:val="381501"/>
          <w:sz w:val="25"/>
          <w:lang w:eastAsia="sk-SK"/>
        </w:rPr>
        <w:t>Prílohy predkladané konečným prijímateľom podpory: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informácia s rozpisom nákladov podľa </w:t>
      </w:r>
      <w:hyperlink r:id="rId5" w:history="1">
        <w:r w:rsidRPr="00BD1C18">
          <w:rPr>
            <w:rFonts w:ascii="Barlow" w:eastAsia="Times New Roman" w:hAnsi="Barlow" w:cs="Times New Roman"/>
            <w:color w:val="EA9E1E"/>
            <w:sz w:val="25"/>
            <w:lang w:eastAsia="sk-SK"/>
          </w:rPr>
          <w:t>Prílohy č. 24</w:t>
        </w:r>
      </w:hyperlink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, ktorá jednoznačne preukazuje spojitosť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dokladov do opatrení na minimalizáciu environmentálnej záťaže a jej trvalej udržateľnosti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pri výrobe,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– kópia dokladov o nákladoch do opatrení na minimalizáciu environmentálnej záťaže a jej</w:t>
      </w:r>
    </w:p>
    <w:p w:rsidR="00BD1C18" w:rsidRPr="00BD1C18" w:rsidRDefault="00BD1C18" w:rsidP="00BD1C18">
      <w:pPr>
        <w:spacing w:before="100" w:beforeAutospacing="1" w:after="100" w:afterAutospacing="1" w:line="380" w:lineRule="atLeast"/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</w:pPr>
      <w:r w:rsidRPr="00BD1C18">
        <w:rPr>
          <w:rFonts w:ascii="Barlow" w:eastAsia="Times New Roman" w:hAnsi="Barlow" w:cs="Times New Roman"/>
          <w:color w:val="381501"/>
          <w:sz w:val="25"/>
          <w:szCs w:val="25"/>
          <w:lang w:eastAsia="sk-SK"/>
        </w:rPr>
        <w:t>trvalej udržateľnosti pri výrobe.</w:t>
      </w:r>
    </w:p>
    <w:p w:rsidR="00B76EB2" w:rsidRDefault="00B76EB2"/>
    <w:sectPr w:rsidR="00B76EB2" w:rsidSect="00B76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1CD9"/>
    <w:multiLevelType w:val="multilevel"/>
    <w:tmpl w:val="E0AC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D1C18"/>
    <w:rsid w:val="00B76EB2"/>
    <w:rsid w:val="00BD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6E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BD1C18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BD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D1C1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celari.sk/wp-content/uploads/2023/08/Priloha-c.2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cp:lastPrinted>2024-05-17T12:08:00Z</cp:lastPrinted>
  <dcterms:created xsi:type="dcterms:W3CDTF">2024-05-17T12:07:00Z</dcterms:created>
  <dcterms:modified xsi:type="dcterms:W3CDTF">2024-05-17T12:09:00Z</dcterms:modified>
</cp:coreProperties>
</file>